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A6E74" w:rsidP="00822AF8">
      <w:pPr>
        <w:pStyle w:val="berschrift1"/>
        <w:spacing w:before="0"/>
      </w:pPr>
      <w:r>
        <w:rPr>
          <w:noProof/>
          <w:lang w:eastAsia="de-DE"/>
        </w:rPr>
        <w:t>Interferenz von weißem Licht am Gitter</w:t>
      </w:r>
    </w:p>
    <w:p w:rsidR="004C312F" w:rsidRDefault="000A6E74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C8077" wp14:editId="4B491E6F">
                <wp:simplePos x="0" y="0"/>
                <wp:positionH relativeFrom="column">
                  <wp:posOffset>-10795</wp:posOffset>
                </wp:positionH>
                <wp:positionV relativeFrom="paragraph">
                  <wp:posOffset>2219960</wp:posOffset>
                </wp:positionV>
                <wp:extent cx="5871845" cy="1098550"/>
                <wp:effectExtent l="0" t="0" r="14605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E74" w:rsidRDefault="00543DEF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0A6E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E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weiße Licht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0A6E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das Gitter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0A6E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das Spektrum, die Spektren;</w:t>
                            </w:r>
                          </w:p>
                          <w:p w:rsidR="00543DEF" w:rsidRDefault="000A6E74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das Maximum, die Maxima; 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Abhängigkeit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543DEF" w:rsidRDefault="000A6E74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die Lage/Position; 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Symmetrie,n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die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Wellenlänge,n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 die Farben</w:t>
                            </w:r>
                          </w:p>
                          <w:p w:rsidR="000A6E74" w:rsidRDefault="000A6E74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begründet sein durch; abhängig sein von; sich ändern mit;</w:t>
                            </w:r>
                          </w:p>
                          <w:p w:rsidR="000A6E74" w:rsidRDefault="00BD577E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besitzen</w:t>
                            </w:r>
                          </w:p>
                          <w:p w:rsidR="00BD28DB" w:rsidRDefault="00BD28DB" w:rsidP="00BD2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80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5pt;margin-top:174.8pt;width:462.35pt;height:8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">
                <v:textbox>
                  <w:txbxContent>
                    <w:p w:rsidR="000A6E74" w:rsidRDefault="00543DEF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0A6E74">
                        <w:rPr>
                          <w:rFonts w:ascii="Comic Sans MS" w:hAnsi="Comic Sans MS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A6E74">
                        <w:rPr>
                          <w:rFonts w:ascii="Comic Sans MS" w:hAnsi="Comic Sans MS"/>
                          <w:sz w:val="20"/>
                          <w:szCs w:val="20"/>
                        </w:rPr>
                        <w:t>weiße Licht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</w:t>
                      </w:r>
                      <w:r w:rsidR="000A6E74">
                        <w:rPr>
                          <w:rFonts w:ascii="Comic Sans MS" w:hAnsi="Comic Sans MS"/>
                          <w:sz w:val="20"/>
                          <w:szCs w:val="20"/>
                        </w:rPr>
                        <w:t>das Gitter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</w:t>
                      </w:r>
                      <w:r w:rsidR="000A6E74">
                        <w:rPr>
                          <w:rFonts w:ascii="Comic Sans MS" w:hAnsi="Comic Sans MS"/>
                          <w:sz w:val="20"/>
                          <w:szCs w:val="20"/>
                        </w:rPr>
                        <w:t>das Spektrum, die Spektren;</w:t>
                      </w:r>
                    </w:p>
                    <w:p w:rsidR="00543DEF" w:rsidRDefault="000A6E74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das Maximum, die Maxima; 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Abhängigkeit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,en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</w:p>
                    <w:p w:rsidR="00543DEF" w:rsidRDefault="000A6E74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die Lage/Position; 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Symmetrie,n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die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Wellenlänge,n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; die Farben</w:t>
                      </w:r>
                    </w:p>
                    <w:p w:rsidR="000A6E74" w:rsidRDefault="000A6E74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begründet sein durch; abhängig sein von; sich ändern mit;</w:t>
                      </w:r>
                    </w:p>
                    <w:p w:rsidR="000A6E74" w:rsidRDefault="00BD577E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besitzen</w:t>
                      </w:r>
                    </w:p>
                    <w:p w:rsidR="00BD28DB" w:rsidRDefault="00BD28DB" w:rsidP="00BD28D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</w:rPr>
        <w:t xml:space="preserve">Fällt weißes Licht auf ein Gitter, so lassen sich auf dem Schirm ein weißer Fleck sowie zahlreiche symmetrische Spektren beobachten. Dieses Phänomen lässt sich </w:t>
      </w:r>
      <w:r w:rsidR="00CE4C7C">
        <w:rPr>
          <w:rFonts w:eastAsiaTheme="minorEastAsia"/>
        </w:rPr>
        <w:t xml:space="preserve">wie folgt </w:t>
      </w:r>
      <w:r>
        <w:rPr>
          <w:rFonts w:eastAsiaTheme="minorEastAsia"/>
        </w:rPr>
        <w:t>begründen:</w:t>
      </w:r>
    </w:p>
    <w:p w:rsidR="000A6E74" w:rsidRDefault="000A6E74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0A6E74" w:rsidRDefault="000A6E74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0A6E74" w:rsidRDefault="000A6E74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0A6E74" w:rsidRDefault="000A6E74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0A6E74" w:rsidRDefault="000A6E74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66B2A2B9" wp14:editId="6E19882B">
            <wp:simplePos x="0" y="0"/>
            <wp:positionH relativeFrom="margin">
              <wp:align>right</wp:align>
            </wp:positionH>
            <wp:positionV relativeFrom="paragraph">
              <wp:posOffset>478155</wp:posOffset>
            </wp:positionV>
            <wp:extent cx="1209675" cy="946150"/>
            <wp:effectExtent l="0" t="0" r="9525" b="63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ab/>
      </w:r>
    </w:p>
    <w:p w:rsidR="00CE4C7C" w:rsidRDefault="00CE4C7C" w:rsidP="00BD28DB">
      <w:pPr>
        <w:tabs>
          <w:tab w:val="right" w:leader="dot" w:pos="9072"/>
        </w:tabs>
        <w:rPr>
          <w:rFonts w:eastAsiaTheme="minorEastAsia"/>
        </w:rPr>
      </w:pPr>
    </w:p>
    <w:p w:rsidR="00CE4C7C" w:rsidRDefault="00CE4C7C" w:rsidP="00BD28DB">
      <w:p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>Aufgabe:</w:t>
      </w:r>
    </w:p>
    <w:p w:rsidR="00CE4C7C" w:rsidRDefault="00CE4C7C" w:rsidP="001F51A6">
      <w:pPr>
        <w:pStyle w:val="Listenabsatz"/>
        <w:numPr>
          <w:ilvl w:val="0"/>
          <w:numId w:val="11"/>
        </w:numPr>
        <w:tabs>
          <w:tab w:val="right" w:leader="dot" w:pos="9072"/>
        </w:tabs>
        <w:rPr>
          <w:rFonts w:eastAsiaTheme="minorEastAsia"/>
        </w:rPr>
      </w:pPr>
      <w:r w:rsidRPr="00CE4C7C">
        <w:rPr>
          <w:rFonts w:eastAsiaTheme="minorEastAsia"/>
        </w:rPr>
        <w:t>Welche Wellenlängen</w:t>
      </w:r>
      <w:r w:rsidRPr="00CE4C7C">
        <w:rPr>
          <w:rFonts w:eastAsiaTheme="minorEastAsia"/>
          <w:i/>
        </w:rPr>
        <w:t>bereiche</w:t>
      </w:r>
      <w:r w:rsidRPr="00CE4C7C">
        <w:rPr>
          <w:rFonts w:eastAsiaTheme="minorEastAsia"/>
        </w:rPr>
        <w:t xml:space="preserve"> hat rotes, blaues,  grünes und gelbes Licht? Bestimmt die Wellenlänge durch Messungen am Aufbau. Das </w:t>
      </w:r>
      <w:r w:rsidR="001F51A6">
        <w:rPr>
          <w:rFonts w:eastAsiaTheme="minorEastAsia"/>
        </w:rPr>
        <w:t xml:space="preserve">verwendete </w:t>
      </w:r>
      <w:r w:rsidRPr="00CE4C7C">
        <w:rPr>
          <w:rFonts w:eastAsiaTheme="minorEastAsia"/>
        </w:rPr>
        <w:t xml:space="preserve">Gitter hat 80 Spalte pro mm. </w:t>
      </w:r>
      <w:r>
        <w:rPr>
          <w:rFonts w:eastAsiaTheme="minorEastAsia"/>
        </w:rPr>
        <w:t xml:space="preserve">Eine besonders genaue Messung erhaltet ihr, wenn ihr </w:t>
      </w:r>
      <w:r w:rsidR="001F51A6">
        <w:rPr>
          <w:rFonts w:eastAsiaTheme="minorEastAsia"/>
        </w:rPr>
        <w:t xml:space="preserve">die räumliche Ausdehnung </w:t>
      </w:r>
      <w:r>
        <w:rPr>
          <w:rFonts w:eastAsiaTheme="minorEastAsia"/>
        </w:rPr>
        <w:t>verschiedene</w:t>
      </w:r>
      <w:r w:rsidR="001F51A6">
        <w:rPr>
          <w:rFonts w:eastAsiaTheme="minorEastAsia"/>
        </w:rPr>
        <w:t>r</w:t>
      </w:r>
      <w:r>
        <w:rPr>
          <w:rFonts w:eastAsiaTheme="minorEastAsia"/>
        </w:rPr>
        <w:t xml:space="preserve"> Maxima </w:t>
      </w:r>
      <w:r w:rsidR="001F51A6">
        <w:rPr>
          <w:rFonts w:eastAsiaTheme="minorEastAsia"/>
        </w:rPr>
        <w:t>ver</w:t>
      </w:r>
      <w:r>
        <w:rPr>
          <w:rFonts w:eastAsiaTheme="minorEastAsia"/>
        </w:rPr>
        <w:t>messt.</w:t>
      </w:r>
    </w:p>
    <w:p w:rsidR="00CE4C7C" w:rsidRPr="00CE4C7C" w:rsidRDefault="00CE4C7C" w:rsidP="00CE4C7C">
      <w:pPr>
        <w:pStyle w:val="Listenabsatz"/>
        <w:numPr>
          <w:ilvl w:val="0"/>
          <w:numId w:val="11"/>
        </w:numPr>
        <w:tabs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 xml:space="preserve">Das sichtbare Lichtspektrum geht von 380nm bis 750nm. </w:t>
      </w:r>
      <w:r w:rsidR="003331D2">
        <w:rPr>
          <w:rFonts w:eastAsiaTheme="minorEastAsia"/>
        </w:rPr>
        <w:t>Überprüfe durch entsprechende Rechnungen, wann sich die ersten bena</w:t>
      </w:r>
      <w:r w:rsidR="001F51A6">
        <w:rPr>
          <w:rFonts w:eastAsiaTheme="minorEastAsia"/>
        </w:rPr>
        <w:t>chbarten Spektren überschneiden, d.h. wann der rote Rand des einen Maximums den blauen Rand des nächsthöheren Spektrums berührt bzw. sich mit diesem überschneidet</w:t>
      </w:r>
      <w:bookmarkStart w:id="0" w:name="_GoBack"/>
      <w:bookmarkEnd w:id="0"/>
      <w:r w:rsidR="001F51A6">
        <w:rPr>
          <w:rFonts w:eastAsiaTheme="minorEastAsia"/>
        </w:rPr>
        <w:t>.</w:t>
      </w:r>
    </w:p>
    <w:sectPr w:rsidR="00CE4C7C" w:rsidRPr="00CE4C7C" w:rsidSect="007F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DF" w:rsidRDefault="000F65DF" w:rsidP="00822AF8">
      <w:pPr>
        <w:spacing w:after="0" w:line="240" w:lineRule="auto"/>
      </w:pPr>
      <w:r>
        <w:separator/>
      </w:r>
    </w:p>
  </w:endnote>
  <w:endnote w:type="continuationSeparator" w:id="0">
    <w:p w:rsidR="000F65DF" w:rsidRDefault="000F65DF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7E" w:rsidRDefault="00BD57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7E" w:rsidRDefault="00BD57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7E" w:rsidRDefault="00BD57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DF" w:rsidRDefault="000F65DF" w:rsidP="00822AF8">
      <w:pPr>
        <w:spacing w:after="0" w:line="240" w:lineRule="auto"/>
      </w:pPr>
      <w:r>
        <w:separator/>
      </w:r>
    </w:p>
  </w:footnote>
  <w:footnote w:type="continuationSeparator" w:id="0">
    <w:p w:rsidR="000F65DF" w:rsidRDefault="000F65DF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7E" w:rsidRDefault="00BD57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BD577E">
      <w:rPr>
        <w:b/>
      </w:rPr>
      <w:t>6</w:t>
    </w:r>
    <w:r w:rsidR="003331D2">
      <w:rPr>
        <w:b/>
      </w:rPr>
      <w:t>B</w:t>
    </w:r>
    <w:r w:rsidR="00BD577E">
      <w:rPr>
        <w:b/>
      </w:rPr>
      <w:t>B</w:t>
    </w:r>
    <w:r w:rsidR="00335308">
      <w:rPr>
        <w:b/>
      </w:rPr>
      <w:t>/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7E" w:rsidRDefault="00BD57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35B98"/>
    <w:multiLevelType w:val="hybridMultilevel"/>
    <w:tmpl w:val="1C2E6418"/>
    <w:lvl w:ilvl="0" w:tplc="5492C84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74"/>
    <w:rsid w:val="00015A2B"/>
    <w:rsid w:val="00021633"/>
    <w:rsid w:val="000A6E74"/>
    <w:rsid w:val="000B27D0"/>
    <w:rsid w:val="000D0CA5"/>
    <w:rsid w:val="000F65DF"/>
    <w:rsid w:val="00121B88"/>
    <w:rsid w:val="00130279"/>
    <w:rsid w:val="00151CCD"/>
    <w:rsid w:val="00157D3A"/>
    <w:rsid w:val="001D73DE"/>
    <w:rsid w:val="001F51A6"/>
    <w:rsid w:val="00214338"/>
    <w:rsid w:val="00220A7D"/>
    <w:rsid w:val="0025545B"/>
    <w:rsid w:val="002A3CA5"/>
    <w:rsid w:val="002D7222"/>
    <w:rsid w:val="003331D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F5C91"/>
    <w:rsid w:val="007F2DFD"/>
    <w:rsid w:val="00822AF8"/>
    <w:rsid w:val="008433FD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D577E"/>
    <w:rsid w:val="00BE2E8C"/>
    <w:rsid w:val="00C1059F"/>
    <w:rsid w:val="00C638D4"/>
    <w:rsid w:val="00C74D13"/>
    <w:rsid w:val="00C76DD5"/>
    <w:rsid w:val="00CC75E1"/>
    <w:rsid w:val="00CE4C7C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B4C67-3914-4DCA-BCCA-297CC4B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F245-E220-410D-B1F6-D532A721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Interferenz von weißem Licht am Gitter</vt:lpstr>
    </vt:vector>
  </TitlesOfParts>
  <Company>WWU Münster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5</cp:revision>
  <cp:lastPrinted>2016-05-06T00:23:00Z</cp:lastPrinted>
  <dcterms:created xsi:type="dcterms:W3CDTF">2016-05-05T20:40:00Z</dcterms:created>
  <dcterms:modified xsi:type="dcterms:W3CDTF">2016-05-06T00:23:00Z</dcterms:modified>
</cp:coreProperties>
</file>